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Marc Frutiger, PE, PTOE</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Section 404 Permit</w:t>
      </w:r>
    </w:p>
    <w:p w:rsidR="00000000" w:rsidDel="00000000" w:rsidP="00000000" w:rsidRDefault="00000000" w:rsidRPr="00000000" w14:paraId="00000003">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Summary</w:t>
      </w:r>
    </w:p>
    <w:p w:rsidR="00000000" w:rsidDel="00000000" w:rsidP="00000000" w:rsidRDefault="00000000" w:rsidRPr="00000000" w14:paraId="00000005">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Section 404 of the Clean Water Act (CWA) (</w:t>
      </w:r>
      <w:r w:rsidDel="00000000" w:rsidR="00000000" w:rsidRPr="00000000">
        <w:rPr>
          <w:rFonts w:ascii="Arial" w:cs="Arial" w:eastAsia="Arial" w:hAnsi="Arial"/>
          <w:rtl w:val="0"/>
        </w:rPr>
        <w:t xml:space="preserve">33 USC 1344</w:t>
      </w:r>
      <w:r w:rsidDel="00000000" w:rsidR="00000000" w:rsidRPr="00000000">
        <w:rPr>
          <w:rFonts w:ascii="Arial" w:cs="Arial" w:eastAsia="Arial" w:hAnsi="Arial"/>
          <w:rtl w:val="0"/>
        </w:rPr>
        <w:t xml:space="preserve">) regulates the discharge of dredged or fill material into Waters of the United States (WOTUS), including wetlands. Activities in WOTUS regulated under this law include fill for development, water resource projects (such as dams and irrigation channels), infrastructure development (such as highways and airports) and mining projects. Section 404 requires a permit before dredged or fill material may be discharged into WOTUS, unless the activity is exempt from Section 404 regulation (e.g., certain farming and forestry activities). The United States Army Corps of Engineers (USACOE) administers the permit process.</w:t>
      </w:r>
    </w:p>
    <w:p w:rsidR="00000000" w:rsidDel="00000000" w:rsidP="00000000" w:rsidRDefault="00000000" w:rsidRPr="00000000" w14:paraId="00000007">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Permit Name</w:t>
      </w:r>
    </w:p>
    <w:p w:rsidR="00000000" w:rsidDel="00000000" w:rsidP="00000000" w:rsidRDefault="00000000" w:rsidRPr="00000000" w14:paraId="00000009">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spacing w:after="0" w:lineRule="auto"/>
        <w:ind w:left="0" w:firstLine="0"/>
        <w:rPr>
          <w:rFonts w:ascii="Arial" w:cs="Arial" w:eastAsia="Arial" w:hAnsi="Arial"/>
        </w:rPr>
      </w:pPr>
      <w:hyperlink r:id="rId7">
        <w:r w:rsidDel="00000000" w:rsidR="00000000" w:rsidRPr="00000000">
          <w:rPr>
            <w:rFonts w:ascii="Arial" w:cs="Arial" w:eastAsia="Arial" w:hAnsi="Arial"/>
            <w:color w:val="1155cc"/>
            <w:u w:val="single"/>
            <w:rtl w:val="0"/>
          </w:rPr>
          <w:t xml:space="preserve">Application for Department of the Army Permit</w:t>
        </w:r>
      </w:hyperlink>
      <w:r w:rsidDel="00000000" w:rsidR="00000000" w:rsidRPr="00000000">
        <w:rPr>
          <w:rFonts w:ascii="Arial" w:cs="Arial" w:eastAsia="Arial" w:hAnsi="Arial"/>
          <w:rtl w:val="0"/>
        </w:rPr>
        <w:t xml:space="preserve">:</w:t>
      </w:r>
    </w:p>
    <w:p w:rsidR="00000000" w:rsidDel="00000000" w:rsidP="00000000" w:rsidRDefault="00000000" w:rsidRPr="00000000" w14:paraId="0000000B">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Nationwide permit (52 available in AK)</w:t>
      </w:r>
    </w:p>
    <w:p w:rsidR="00000000" w:rsidDel="00000000" w:rsidP="00000000" w:rsidRDefault="00000000" w:rsidRPr="00000000" w14:paraId="0000000C">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Regional general permit (8 available in AK)</w:t>
      </w:r>
    </w:p>
    <w:p w:rsidR="00000000" w:rsidDel="00000000" w:rsidP="00000000" w:rsidRDefault="00000000" w:rsidRPr="00000000" w14:paraId="0000000D">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Individual permit (for greater than minor impacts)</w:t>
      </w:r>
    </w:p>
    <w:p w:rsidR="00000000" w:rsidDel="00000000" w:rsidP="00000000" w:rsidRDefault="00000000" w:rsidRPr="00000000" w14:paraId="0000000E">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Applicability</w:t>
      </w:r>
    </w:p>
    <w:p w:rsidR="00000000" w:rsidDel="00000000" w:rsidP="00000000" w:rsidRDefault="00000000" w:rsidRPr="00000000" w14:paraId="00000010">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The discharge of dredged or fill material into WOTUS.</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u w:val="single"/>
        </w:rPr>
      </w:pPr>
      <w:bookmarkStart w:colFirst="0" w:colLast="0" w:name="_heading=h.30j0zll" w:id="0"/>
      <w:bookmarkEnd w:id="0"/>
      <w:r w:rsidDel="00000000" w:rsidR="00000000" w:rsidRPr="00000000">
        <w:rPr>
          <w:rFonts w:ascii="Arial" w:cs="Arial" w:eastAsia="Arial" w:hAnsi="Arial"/>
          <w:b w:val="1"/>
          <w:u w:val="single"/>
          <w:rtl w:val="0"/>
        </w:rPr>
        <w:t xml:space="preserve">Processing Times</w:t>
      </w:r>
    </w:p>
    <w:p w:rsidR="00000000" w:rsidDel="00000000" w:rsidP="00000000" w:rsidRDefault="00000000" w:rsidRPr="00000000" w14:paraId="00000014">
      <w:pPr>
        <w:spacing w:after="0" w:lineRule="auto"/>
        <w:rPr>
          <w:rFonts w:ascii="Arial" w:cs="Arial" w:eastAsia="Arial" w:hAnsi="Arial"/>
          <w:b w:val="1"/>
          <w:u w:val="single"/>
        </w:rPr>
      </w:pPr>
      <w:bookmarkStart w:colFirst="0" w:colLast="0" w:name="_heading=h.dj170cmdecw8" w:id="1"/>
      <w:bookmarkEnd w:id="1"/>
      <w:r w:rsidDel="00000000" w:rsidR="00000000" w:rsidRPr="00000000">
        <w:rPr>
          <w:rtl w:val="0"/>
        </w:rPr>
      </w:r>
    </w:p>
    <w:p w:rsidR="00000000" w:rsidDel="00000000" w:rsidP="00000000" w:rsidRDefault="00000000" w:rsidRPr="00000000" w14:paraId="00000015">
      <w:pPr>
        <w:numPr>
          <w:ilvl w:val="0"/>
          <w:numId w:val="3"/>
        </w:numPr>
        <w:spacing w:after="0" w:lineRule="auto"/>
        <w:ind w:left="720" w:hanging="360"/>
        <w:rPr>
          <w:rFonts w:ascii="Arial" w:cs="Arial" w:eastAsia="Arial" w:hAnsi="Arial"/>
        </w:rPr>
      </w:pPr>
      <w:bookmarkStart w:colFirst="0" w:colLast="0" w:name="_heading=h.3fao0533k7d5" w:id="2"/>
      <w:bookmarkEnd w:id="2"/>
      <w:r w:rsidDel="00000000" w:rsidR="00000000" w:rsidRPr="00000000">
        <w:rPr>
          <w:rFonts w:ascii="Arial" w:cs="Arial" w:eastAsia="Arial" w:hAnsi="Arial"/>
          <w:rtl w:val="0"/>
        </w:rPr>
        <w:t xml:space="preserve">Nationwide permit: 30-45 days</w:t>
      </w:r>
    </w:p>
    <w:p w:rsidR="00000000" w:rsidDel="00000000" w:rsidP="00000000" w:rsidRDefault="00000000" w:rsidRPr="00000000" w14:paraId="00000016">
      <w:pPr>
        <w:numPr>
          <w:ilvl w:val="0"/>
          <w:numId w:val="3"/>
        </w:numPr>
        <w:spacing w:after="0" w:lineRule="auto"/>
        <w:ind w:left="720" w:hanging="360"/>
        <w:rPr>
          <w:rFonts w:ascii="Arial" w:cs="Arial" w:eastAsia="Arial" w:hAnsi="Arial"/>
        </w:rPr>
      </w:pPr>
      <w:bookmarkStart w:colFirst="0" w:colLast="0" w:name="_heading=h.x8ap50rhb6rv" w:id="3"/>
      <w:bookmarkEnd w:id="3"/>
      <w:r w:rsidDel="00000000" w:rsidR="00000000" w:rsidRPr="00000000">
        <w:rPr>
          <w:rFonts w:ascii="Arial" w:cs="Arial" w:eastAsia="Arial" w:hAnsi="Arial"/>
          <w:rtl w:val="0"/>
        </w:rPr>
        <w:t xml:space="preserve">Regional general permit: pre-authorized coverage for certain activities, e.g. single and multi-family residential development</w:t>
      </w:r>
    </w:p>
    <w:p w:rsidR="00000000" w:rsidDel="00000000" w:rsidP="00000000" w:rsidRDefault="00000000" w:rsidRPr="00000000" w14:paraId="00000017">
      <w:pPr>
        <w:numPr>
          <w:ilvl w:val="0"/>
          <w:numId w:val="3"/>
        </w:numPr>
        <w:spacing w:after="0" w:lineRule="auto"/>
        <w:ind w:left="720" w:hanging="360"/>
        <w:rPr>
          <w:rFonts w:ascii="Arial" w:cs="Arial" w:eastAsia="Arial" w:hAnsi="Arial"/>
        </w:rPr>
      </w:pPr>
      <w:bookmarkStart w:colFirst="0" w:colLast="0" w:name="_heading=h.bbesjl8seuqr" w:id="4"/>
      <w:bookmarkEnd w:id="4"/>
      <w:r w:rsidDel="00000000" w:rsidR="00000000" w:rsidRPr="00000000">
        <w:rPr>
          <w:rFonts w:ascii="Arial" w:cs="Arial" w:eastAsia="Arial" w:hAnsi="Arial"/>
          <w:rtl w:val="0"/>
        </w:rPr>
        <w:t xml:space="preserve">Individual permit: 90-120 days (more if a public hearing or EIS is required)</w:t>
      </w:r>
    </w:p>
    <w:p w:rsidR="00000000" w:rsidDel="00000000" w:rsidP="00000000" w:rsidRDefault="00000000" w:rsidRPr="00000000" w14:paraId="00000018">
      <w:pPr>
        <w:spacing w:after="0" w:lineRule="auto"/>
        <w:ind w:left="720" w:firstLine="0"/>
        <w:rPr>
          <w:rFonts w:ascii="Arial" w:cs="Arial" w:eastAsia="Arial" w:hAnsi="Arial"/>
        </w:rPr>
      </w:pPr>
      <w:bookmarkStart w:colFirst="0" w:colLast="0" w:name="_heading=h.9ipe58jkwg9t" w:id="5"/>
      <w:bookmarkEnd w:id="5"/>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Agency Coordination</w:t>
      </w:r>
    </w:p>
    <w:p w:rsidR="00000000" w:rsidDel="00000000" w:rsidP="00000000" w:rsidRDefault="00000000" w:rsidRPr="00000000" w14:paraId="0000001A">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Lead Agency: USACOE</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rtl w:val="0"/>
        </w:rPr>
        <w:t xml:space="preserve">The USACOE is organized into districts and further divided into field offices. Permit applications are submitted to the respective district or field office, upon which they are assigned to a reviewer.</w:t>
      </w:r>
    </w:p>
    <w:p w:rsidR="00000000" w:rsidDel="00000000" w:rsidP="00000000" w:rsidRDefault="00000000" w:rsidRPr="00000000" w14:paraId="0000001D">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Complementary Roles of Other Public Agencies: </w:t>
      </w:r>
    </w:p>
    <w:p w:rsidR="00000000" w:rsidDel="00000000" w:rsidP="00000000" w:rsidRDefault="00000000" w:rsidRPr="00000000" w14:paraId="0000001E">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United States Coast Guard for navigability</w:t>
      </w:r>
    </w:p>
    <w:p w:rsidR="00000000" w:rsidDel="00000000" w:rsidP="00000000" w:rsidRDefault="00000000" w:rsidRPr="00000000" w14:paraId="0000001F">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Alaska Department of Environmental Conversation for contamination, point discharge, and dewatering</w:t>
      </w:r>
    </w:p>
    <w:p w:rsidR="00000000" w:rsidDel="00000000" w:rsidP="00000000" w:rsidRDefault="00000000" w:rsidRPr="00000000" w14:paraId="00000020">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Alaska Fish &amp; Game for permits to modify fish bearing streams, which usually involves the placement of fill such as riprap.</w:t>
      </w:r>
    </w:p>
    <w:p w:rsidR="00000000" w:rsidDel="00000000" w:rsidP="00000000" w:rsidRDefault="00000000" w:rsidRPr="00000000" w14:paraId="00000021">
      <w:pPr>
        <w:spacing w:after="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b w:val="1"/>
          <w:u w:val="single"/>
          <w:rtl w:val="0"/>
        </w:rPr>
        <w:t xml:space="preserve">Consultation Process</w:t>
      </w: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The USACOE is engaged early in the NEPA process for jurisdictional determination and scoping. They should be consulted throughout the NEPA process to appropriately designate the class of action. A pre-application meeting is recommended to discuss mitigation alternatives.</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Information Necessary:</w:t>
      </w:r>
    </w:p>
    <w:p w:rsidR="00000000" w:rsidDel="00000000" w:rsidP="00000000" w:rsidRDefault="00000000" w:rsidRPr="00000000" w14:paraId="00000027">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spacing w:after="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What does the agency need from you? </w:t>
      </w:r>
    </w:p>
    <w:p w:rsidR="00000000" w:rsidDel="00000000" w:rsidP="00000000" w:rsidRDefault="00000000" w:rsidRPr="00000000" w14:paraId="00000029">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Location and scope of project</w:t>
      </w:r>
    </w:p>
    <w:p w:rsidR="00000000" w:rsidDel="00000000" w:rsidP="00000000" w:rsidRDefault="00000000" w:rsidRPr="00000000" w14:paraId="0000002A">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Other agency permits being sought</w:t>
      </w:r>
    </w:p>
    <w:p w:rsidR="00000000" w:rsidDel="00000000" w:rsidP="00000000" w:rsidRDefault="00000000" w:rsidRPr="00000000" w14:paraId="0000002B">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Whether a Jurisdictional determination was completed</w:t>
      </w:r>
    </w:p>
    <w:p w:rsidR="00000000" w:rsidDel="00000000" w:rsidP="00000000" w:rsidRDefault="00000000" w:rsidRPr="00000000" w14:paraId="0000002C">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Outcome of wetlands delineation and methods employed</w:t>
      </w:r>
    </w:p>
    <w:p w:rsidR="00000000" w:rsidDel="00000000" w:rsidP="00000000" w:rsidRDefault="00000000" w:rsidRPr="00000000" w14:paraId="0000002D">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Quantity of fill or dredged material being placed in WOTUS (cubic yards and acres)</w:t>
      </w:r>
    </w:p>
    <w:p w:rsidR="00000000" w:rsidDel="00000000" w:rsidP="00000000" w:rsidRDefault="00000000" w:rsidRPr="00000000" w14:paraId="0000002E">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Contact information</w:t>
      </w:r>
    </w:p>
    <w:p w:rsidR="00000000" w:rsidDel="00000000" w:rsidP="00000000" w:rsidRDefault="00000000" w:rsidRPr="00000000" w14:paraId="0000002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Type of permit being applied for (nationwide, regional, individual)</w:t>
      </w:r>
    </w:p>
    <w:p w:rsidR="00000000" w:rsidDel="00000000" w:rsidP="00000000" w:rsidRDefault="00000000" w:rsidRPr="00000000" w14:paraId="0000003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Drawings that follow USACOE standards:</w:t>
      </w:r>
    </w:p>
    <w:p w:rsidR="00000000" w:rsidDel="00000000" w:rsidP="00000000" w:rsidRDefault="00000000" w:rsidRPr="00000000" w14:paraId="00000031">
      <w:pPr>
        <w:numPr>
          <w:ilvl w:val="1"/>
          <w:numId w:val="2"/>
        </w:numPr>
        <w:spacing w:after="0" w:lineRule="auto"/>
        <w:ind w:left="1440" w:hanging="360"/>
        <w:rPr>
          <w:rFonts w:ascii="Arial" w:cs="Arial" w:eastAsia="Arial" w:hAnsi="Arial"/>
        </w:rPr>
      </w:pPr>
      <w:hyperlink r:id="rId8">
        <w:r w:rsidDel="00000000" w:rsidR="00000000" w:rsidRPr="00000000">
          <w:rPr>
            <w:rFonts w:ascii="Arial" w:cs="Arial" w:eastAsia="Arial" w:hAnsi="Arial"/>
            <w:color w:val="1155cc"/>
            <w:u w:val="single"/>
            <w:rtl w:val="0"/>
          </w:rPr>
          <w:t xml:space="preserve">https://www.poa.usace.army.mil/Missions/Regulatory/Permits/Permit-Application-Drawings/</w:t>
        </w:r>
      </w:hyperlink>
      <w:r w:rsidDel="00000000" w:rsidR="00000000" w:rsidRPr="00000000">
        <w:rPr>
          <w:rtl w:val="0"/>
        </w:rPr>
      </w:r>
    </w:p>
    <w:p w:rsidR="00000000" w:rsidDel="00000000" w:rsidP="00000000" w:rsidRDefault="00000000" w:rsidRPr="00000000" w14:paraId="00000032">
      <w:pPr>
        <w:spacing w:after="0"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Who/How do you get that information?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DOT&amp;PF projects, the permit application is compiled at the 95% design level (CatEx projects). Projects being assessed under an EA typically require a draft permit application be prepared alongside the EA.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Special definitions </w:t>
      </w:r>
    </w:p>
    <w:p w:rsidR="00000000" w:rsidDel="00000000" w:rsidP="00000000" w:rsidRDefault="00000000" w:rsidRPr="00000000" w14:paraId="00000036">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WOTUS: the interpretation of the USACOE’s jurisdiction is constantly litigated. A landmark case brought before the Supreme Court in 2006 (</w:t>
      </w:r>
      <w:r w:rsidDel="00000000" w:rsidR="00000000" w:rsidRPr="00000000">
        <w:rPr>
          <w:rFonts w:ascii="Arial" w:cs="Arial" w:eastAsia="Arial" w:hAnsi="Arial"/>
          <w:i w:val="1"/>
          <w:color w:val="222222"/>
          <w:highlight w:val="white"/>
          <w:rtl w:val="0"/>
        </w:rPr>
        <w:t xml:space="preserve">Rapanos v. United States</w:t>
      </w:r>
      <w:r w:rsidDel="00000000" w:rsidR="00000000" w:rsidRPr="00000000">
        <w:rPr>
          <w:rFonts w:ascii="Arial" w:cs="Arial" w:eastAsia="Arial" w:hAnsi="Arial"/>
          <w:color w:val="222222"/>
          <w:highlight w:val="white"/>
          <w:rtl w:val="0"/>
        </w:rPr>
        <w:t xml:space="preserve">, 547 U.S. 715 [2006] </w:t>
      </w:r>
      <w:r w:rsidDel="00000000" w:rsidR="00000000" w:rsidRPr="00000000">
        <w:rPr>
          <w:rFonts w:ascii="Arial" w:cs="Arial" w:eastAsia="Arial" w:hAnsi="Arial"/>
          <w:rtl w:val="0"/>
        </w:rPr>
        <w:t xml:space="preserve">) did not produce a majority decision. The definition of WOTUS continues to be challenged to this day.</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Enforcement and Penalties</w:t>
      </w: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The EPA and USACOE have joint responsibility for enforcing Section 404 of the CWA. Depending on the severity of the violation, they can issue:</w:t>
      </w:r>
    </w:p>
    <w:p w:rsidR="00000000" w:rsidDel="00000000" w:rsidP="00000000" w:rsidRDefault="00000000" w:rsidRPr="00000000" w14:paraId="0000003C">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color w:val="212121"/>
          <w:highlight w:val="white"/>
          <w:rtl w:val="0"/>
        </w:rPr>
        <w:t xml:space="preserve">administrative compliance orders;</w:t>
      </w:r>
    </w:p>
    <w:p w:rsidR="00000000" w:rsidDel="00000000" w:rsidP="00000000" w:rsidRDefault="00000000" w:rsidRPr="00000000" w14:paraId="0000003D">
      <w:pPr>
        <w:numPr>
          <w:ilvl w:val="0"/>
          <w:numId w:val="4"/>
        </w:numPr>
        <w:spacing w:after="0" w:lineRule="auto"/>
        <w:ind w:left="720" w:hanging="360"/>
        <w:rPr>
          <w:rFonts w:ascii="Arial" w:cs="Arial" w:eastAsia="Arial" w:hAnsi="Arial"/>
          <w:color w:val="212121"/>
          <w:highlight w:val="white"/>
        </w:rPr>
      </w:pPr>
      <w:r w:rsidDel="00000000" w:rsidR="00000000" w:rsidRPr="00000000">
        <w:rPr>
          <w:rFonts w:ascii="Arial" w:cs="Arial" w:eastAsia="Arial" w:hAnsi="Arial"/>
          <w:color w:val="212121"/>
          <w:highlight w:val="white"/>
          <w:rtl w:val="0"/>
        </w:rPr>
        <w:t xml:space="preserve">administrative civil penalties; </w:t>
      </w:r>
    </w:p>
    <w:p w:rsidR="00000000" w:rsidDel="00000000" w:rsidP="00000000" w:rsidRDefault="00000000" w:rsidRPr="00000000" w14:paraId="0000003E">
      <w:pPr>
        <w:numPr>
          <w:ilvl w:val="0"/>
          <w:numId w:val="4"/>
        </w:numPr>
        <w:spacing w:after="0" w:lineRule="auto"/>
        <w:ind w:left="720" w:hanging="360"/>
        <w:rPr>
          <w:rFonts w:ascii="Arial" w:cs="Arial" w:eastAsia="Arial" w:hAnsi="Arial"/>
          <w:color w:val="212121"/>
          <w:highlight w:val="white"/>
        </w:rPr>
      </w:pPr>
      <w:r w:rsidDel="00000000" w:rsidR="00000000" w:rsidRPr="00000000">
        <w:rPr>
          <w:rFonts w:ascii="Arial" w:cs="Arial" w:eastAsia="Arial" w:hAnsi="Arial"/>
          <w:color w:val="212121"/>
          <w:highlight w:val="white"/>
          <w:rtl w:val="0"/>
        </w:rPr>
        <w:t xml:space="preserve">civil judicial enforcement actions; or</w:t>
      </w:r>
    </w:p>
    <w:p w:rsidR="00000000" w:rsidDel="00000000" w:rsidP="00000000" w:rsidRDefault="00000000" w:rsidRPr="00000000" w14:paraId="0000003F">
      <w:pPr>
        <w:numPr>
          <w:ilvl w:val="0"/>
          <w:numId w:val="4"/>
        </w:numPr>
        <w:spacing w:after="0" w:lineRule="auto"/>
        <w:ind w:left="720" w:hanging="360"/>
        <w:rPr>
          <w:rFonts w:ascii="Arial" w:cs="Arial" w:eastAsia="Arial" w:hAnsi="Arial"/>
          <w:color w:val="212121"/>
          <w:highlight w:val="white"/>
        </w:rPr>
      </w:pPr>
      <w:r w:rsidDel="00000000" w:rsidR="00000000" w:rsidRPr="00000000">
        <w:rPr>
          <w:rFonts w:ascii="Arial" w:cs="Arial" w:eastAsia="Arial" w:hAnsi="Arial"/>
          <w:color w:val="212121"/>
          <w:highlight w:val="white"/>
          <w:rtl w:val="0"/>
        </w:rPr>
        <w:t xml:space="preserve">criminal judicial enforcement actions.</w:t>
      </w:r>
    </w:p>
    <w:p w:rsidR="00000000" w:rsidDel="00000000" w:rsidP="00000000" w:rsidRDefault="00000000" w:rsidRPr="00000000" w14:paraId="00000040">
      <w:pPr>
        <w:spacing w:after="0" w:lineRule="auto"/>
        <w:rPr>
          <w:rFonts w:ascii="Arial" w:cs="Arial" w:eastAsia="Arial" w:hAnsi="Arial"/>
          <w:color w:val="212121"/>
          <w:highlight w:val="white"/>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color w:val="212121"/>
          <w:highlight w:val="white"/>
        </w:rPr>
      </w:pPr>
      <w:r w:rsidDel="00000000" w:rsidR="00000000" w:rsidRPr="00000000">
        <w:rPr>
          <w:rtl w:val="0"/>
        </w:rPr>
      </w:r>
    </w:p>
    <w:p w:rsidR="00000000" w:rsidDel="00000000" w:rsidP="00000000" w:rsidRDefault="00000000" w:rsidRPr="00000000" w14:paraId="00000042">
      <w:pPr>
        <w:spacing w:after="0" w:lineRule="auto"/>
        <w:ind w:left="720" w:firstLine="0"/>
        <w:rPr>
          <w:rFonts w:ascii="Arial" w:cs="Arial" w:eastAsia="Arial" w:hAnsi="Arial"/>
          <w:color w:val="212121"/>
          <w:highlight w:val="white"/>
        </w:rPr>
      </w:pPr>
      <w:r w:rsidDel="00000000" w:rsidR="00000000" w:rsidRPr="00000000">
        <w:rPr>
          <w:rtl w:val="0"/>
        </w:rPr>
      </w:r>
    </w:p>
    <w:bookmarkStart w:colFirst="0" w:colLast="0" w:name="bookmark=id.1fob9te" w:id="6"/>
    <w:bookmarkEnd w:id="6"/>
    <w:bookmarkStart w:colFirst="0" w:colLast="0" w:name="bookmark=id.3znysh7" w:id="7"/>
    <w:bookmarkEnd w:id="7"/>
    <w:p w:rsidR="00000000" w:rsidDel="00000000" w:rsidP="00000000" w:rsidRDefault="00000000" w:rsidRPr="00000000" w14:paraId="00000043">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REGULATIONS (CFR)</w:t>
      </w:r>
    </w:p>
    <w:p w:rsidR="00000000" w:rsidDel="00000000" w:rsidP="00000000" w:rsidRDefault="00000000" w:rsidRPr="00000000" w14:paraId="00000044">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State: N/A (State of Alaska does not have authority)</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Federal: 33 USC 1344</w:t>
      </w:r>
    </w:p>
    <w:p w:rsidR="00000000" w:rsidDel="00000000" w:rsidP="00000000" w:rsidRDefault="00000000" w:rsidRPr="00000000" w14:paraId="00000047">
      <w:pPr>
        <w:spacing w:after="0" w:line="240" w:lineRule="auto"/>
        <w:ind w:firstLine="720"/>
        <w:jc w:val="both"/>
        <w:rPr>
          <w:rFonts w:ascii="Arial" w:cs="Arial" w:eastAsia="Arial" w:hAnsi="Arial"/>
        </w:rPr>
      </w:pPr>
      <w:r w:rsidDel="00000000" w:rsidR="00000000" w:rsidRPr="00000000">
        <w:rPr>
          <w:rtl w:val="0"/>
        </w:rPr>
      </w:r>
    </w:p>
    <w:bookmarkStart w:colFirst="0" w:colLast="0" w:name="bookmark=id.3dy6vkm" w:id="8"/>
    <w:bookmarkEnd w:id="8"/>
    <w:bookmarkStart w:colFirst="0" w:colLast="0" w:name="bookmark=id.2et92p0" w:id="9"/>
    <w:bookmarkEnd w:id="9"/>
    <w:bookmarkStart w:colFirst="0" w:colLast="0" w:name="bookmark=id.tyjcwt" w:id="10"/>
    <w:bookmarkEnd w:id="10"/>
    <w:p w:rsidR="00000000" w:rsidDel="00000000" w:rsidP="00000000" w:rsidRDefault="00000000" w:rsidRPr="00000000" w14:paraId="00000048">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Other Resources</w:t>
      </w:r>
    </w:p>
    <w:p w:rsidR="00000000" w:rsidDel="00000000" w:rsidP="00000000" w:rsidRDefault="00000000" w:rsidRPr="00000000" w14:paraId="0000004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USACOE: </w:t>
      </w:r>
      <w:hyperlink r:id="rId9">
        <w:r w:rsidDel="00000000" w:rsidR="00000000" w:rsidRPr="00000000">
          <w:rPr>
            <w:rFonts w:ascii="Arial" w:cs="Arial" w:eastAsia="Arial" w:hAnsi="Arial"/>
            <w:color w:val="212121"/>
            <w:highlight w:val="white"/>
            <w:rtl w:val="0"/>
          </w:rPr>
          <w:t xml:space="preserve">https://www.poa.usace.army.mil/</w:t>
        </w:r>
      </w:hyperlink>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DOT&amp;PF: </w:t>
      </w:r>
      <w:hyperlink r:id="rId10">
        <w:r w:rsidDel="00000000" w:rsidR="00000000" w:rsidRPr="00000000">
          <w:rPr>
            <w:rFonts w:ascii="Arial" w:cs="Arial" w:eastAsia="Arial" w:hAnsi="Arial"/>
            <w:color w:val="212121"/>
            <w:highlight w:val="white"/>
            <w:rtl w:val="0"/>
          </w:rPr>
          <w:t xml:space="preserve">http://dot.alaska.gov/stwddes/desenviron/index.shtml</w:t>
        </w:r>
      </w:hyperlink>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FHWA: </w:t>
      </w:r>
      <w:hyperlink r:id="rId11">
        <w:r w:rsidDel="00000000" w:rsidR="00000000" w:rsidRPr="00000000">
          <w:rPr>
            <w:rFonts w:ascii="Arial" w:cs="Arial" w:eastAsia="Arial" w:hAnsi="Arial"/>
            <w:color w:val="212121"/>
            <w:highlight w:val="white"/>
            <w:rtl w:val="0"/>
          </w:rPr>
          <w:t xml:space="preserve">https://www.environment.fhwa.dot.gov/default.aspx</w:t>
        </w:r>
      </w:hyperlink>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NWI: </w:t>
      </w:r>
      <w:hyperlink r:id="rId12">
        <w:r w:rsidDel="00000000" w:rsidR="00000000" w:rsidRPr="00000000">
          <w:rPr>
            <w:rFonts w:ascii="Arial" w:cs="Arial" w:eastAsia="Arial" w:hAnsi="Arial"/>
            <w:color w:val="212121"/>
            <w:highlight w:val="white"/>
            <w:rtl w:val="0"/>
          </w:rPr>
          <w:t xml:space="preserve">https://www.fws.gov/wetlands/</w:t>
        </w:r>
      </w:hyperlink>
      <w:r w:rsidDel="00000000" w:rsidR="00000000" w:rsidRPr="00000000">
        <w:rPr>
          <w:rtl w:val="0"/>
        </w:rPr>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MOA: </w:t>
      </w:r>
      <w:hyperlink r:id="rId13">
        <w:r w:rsidDel="00000000" w:rsidR="00000000" w:rsidRPr="00000000">
          <w:rPr>
            <w:rFonts w:ascii="Arial" w:cs="Arial" w:eastAsia="Arial" w:hAnsi="Arial"/>
            <w:color w:val="212121"/>
            <w:highlight w:val="white"/>
            <w:rtl w:val="0"/>
          </w:rPr>
          <w:t xml:space="preserve">http://anchoragestormwater.com/maps.html</w:t>
        </w:r>
      </w:hyperlink>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color w:val="212121"/>
          <w:highlight w:val="white"/>
          <w:rtl w:val="0"/>
        </w:rPr>
        <w:t xml:space="preserve">CWA enforcement: </w:t>
      </w:r>
      <w:hyperlink r:id="rId14">
        <w:r w:rsidDel="00000000" w:rsidR="00000000" w:rsidRPr="00000000">
          <w:rPr>
            <w:rFonts w:ascii="Arial" w:cs="Arial" w:eastAsia="Arial" w:hAnsi="Arial"/>
            <w:color w:val="212121"/>
            <w:highlight w:val="white"/>
            <w:rtl w:val="0"/>
          </w:rPr>
          <w:t xml:space="preserve">https://www.epa.gov/cwa-404/enforcement-under-cwa-section-404</w:t>
        </w:r>
      </w:hyperlink>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color w:val="000000"/>
          <w:u w:val="single"/>
        </w:rPr>
      </w:pPr>
      <w:r w:rsidDel="00000000" w:rsidR="00000000" w:rsidRPr="00000000">
        <w:rPr>
          <w:rtl w:val="0"/>
        </w:rPr>
      </w:r>
    </w:p>
    <w:sectPr>
      <w:headerReference r:id="rId15" w:type="default"/>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t xml:space="preserve">February 25, 2020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t xml:space="preserve">ENVE 644 - Spring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rsid w:val="00076A3C"/>
    <w:pPr>
      <w:keepNext w:val="1"/>
      <w:keepLines w:val="1"/>
      <w:spacing w:after="80" w:before="360" w:line="276" w:lineRule="auto"/>
      <w:contextualSpacing w:val="1"/>
      <w:outlineLvl w:val="1"/>
    </w:pPr>
    <w:rPr>
      <w:rFonts w:ascii="Calibri" w:cs="Calibri" w:eastAsia="Calibri" w:hAnsi="Calibri"/>
      <w:b w:val="1"/>
      <w:color w:val="000000"/>
      <w:sz w:val="36"/>
      <w:szCs w:val="36"/>
    </w:rPr>
  </w:style>
  <w:style w:type="paragraph" w:styleId="Heading3">
    <w:name w:val="heading 3"/>
    <w:basedOn w:val="Normal"/>
    <w:next w:val="Normal"/>
    <w:link w:val="Heading3Char"/>
    <w:rsid w:val="00076A3C"/>
    <w:pPr>
      <w:keepNext w:val="1"/>
      <w:keepLines w:val="1"/>
      <w:spacing w:after="80" w:before="280" w:line="276" w:lineRule="auto"/>
      <w:contextualSpacing w:val="1"/>
      <w:outlineLvl w:val="2"/>
    </w:pPr>
    <w:rPr>
      <w:rFonts w:ascii="Calibri" w:cs="Calibri" w:eastAsia="Calibri" w:hAnsi="Calibri"/>
      <w:b w:val="1"/>
      <w:color w:val="00000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C3EDB"/>
    <w:rPr>
      <w:color w:val="0000ff"/>
      <w:u w:val="single"/>
    </w:rPr>
  </w:style>
  <w:style w:type="paragraph" w:styleId="ListParagraph">
    <w:name w:val="List Paragraph"/>
    <w:basedOn w:val="Normal"/>
    <w:uiPriority w:val="34"/>
    <w:qFormat w:val="1"/>
    <w:rsid w:val="00BC3EDB"/>
    <w:pPr>
      <w:spacing w:after="0" w:line="240" w:lineRule="auto"/>
      <w:ind w:left="720"/>
      <w:contextualSpacing w:val="1"/>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A66FF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6FFB"/>
    <w:rPr>
      <w:rFonts w:ascii="Segoe UI" w:cs="Segoe UI" w:hAnsi="Segoe UI"/>
      <w:sz w:val="18"/>
      <w:szCs w:val="18"/>
    </w:rPr>
  </w:style>
  <w:style w:type="character" w:styleId="FollowedHyperlink">
    <w:name w:val="FollowedHyperlink"/>
    <w:basedOn w:val="DefaultParagraphFont"/>
    <w:uiPriority w:val="99"/>
    <w:semiHidden w:val="1"/>
    <w:unhideWhenUsed w:val="1"/>
    <w:rsid w:val="00EF40FA"/>
    <w:rPr>
      <w:color w:val="954f72" w:themeColor="followedHyperlink"/>
      <w:u w:val="single"/>
    </w:rPr>
  </w:style>
  <w:style w:type="character" w:styleId="Heading2Char" w:customStyle="1">
    <w:name w:val="Heading 2 Char"/>
    <w:basedOn w:val="DefaultParagraphFont"/>
    <w:link w:val="Heading2"/>
    <w:rsid w:val="00076A3C"/>
    <w:rPr>
      <w:rFonts w:ascii="Calibri" w:cs="Calibri" w:eastAsia="Calibri" w:hAnsi="Calibri"/>
      <w:b w:val="1"/>
      <w:color w:val="000000"/>
      <w:sz w:val="36"/>
      <w:szCs w:val="36"/>
    </w:rPr>
  </w:style>
  <w:style w:type="character" w:styleId="Heading3Char" w:customStyle="1">
    <w:name w:val="Heading 3 Char"/>
    <w:basedOn w:val="DefaultParagraphFont"/>
    <w:link w:val="Heading3"/>
    <w:rsid w:val="00076A3C"/>
    <w:rPr>
      <w:rFonts w:ascii="Calibri" w:cs="Calibri" w:eastAsia="Calibri" w:hAnsi="Calibri"/>
      <w:b w:val="1"/>
      <w:color w:val="000000"/>
      <w:sz w:val="28"/>
      <w:szCs w:val="28"/>
    </w:rPr>
  </w:style>
  <w:style w:type="paragraph" w:styleId="lucida9" w:customStyle="1">
    <w:name w:val="lucida9"/>
    <w:basedOn w:val="Normal"/>
    <w:rsid w:val="00076A3C"/>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076A3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nvironment.fhwa.dot.gov/default.aspx" TargetMode="External"/><Relationship Id="rId10" Type="http://schemas.openxmlformats.org/officeDocument/2006/relationships/hyperlink" Target="http://dot.alaska.gov/stwddes/desenviron/index.shtml" TargetMode="External"/><Relationship Id="rId13" Type="http://schemas.openxmlformats.org/officeDocument/2006/relationships/hyperlink" Target="http://anchoragestormwater.com/maps.html" TargetMode="External"/><Relationship Id="rId12" Type="http://schemas.openxmlformats.org/officeDocument/2006/relationships/hyperlink" Target="https://www.fws.gov/wetla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a.usace.army.mil/" TargetMode="External"/><Relationship Id="rId15" Type="http://schemas.openxmlformats.org/officeDocument/2006/relationships/header" Target="header1.xml"/><Relationship Id="rId14" Type="http://schemas.openxmlformats.org/officeDocument/2006/relationships/hyperlink" Target="https://www.epa.gov/cwa-404/enforcement-under-cwa-section-404"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oa.usace.army.mil/Portals/34/docs/regulatory/engform43452012oct.pdf" TargetMode="External"/><Relationship Id="rId8" Type="http://schemas.openxmlformats.org/officeDocument/2006/relationships/hyperlink" Target="https://www.poa.usace.army.mil/Missions/Regulatory/Permits/Permit-Application-Draw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pcwQob4ZxlH+6/G4TD5rG5cCg==">AMUW2mV1HqyUFxxmiUM2cVytq9caetZe5SjoA4eaiYg+7jPTRHjIfI8gaLNgdwtL8ZFCxf4wNVqRVjYtCKw1HJ8CoyUpl2yV2tqMIE5gVUxIGJG3pdOCiIwLJUDnQztIcGYELyfzXfwGVZ+Z9fJ2UP2ansOE2CbxETl8QDyaFTSKtX9tlwch0phaBmQ+qcnzb33vcxu8zKlC/MwhjQSG2fOOpriJbn7xggpKIaEVEJPVNyGiqp+rl8Ewt5hNKsECYBZC8vwHJ44iwp+pwKx7U1MGFIo5+k8gNst8JOIZHFNZeicoBgfKOsVcD9/Cg8Npnjt5ZGeVu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2020-02-19T07:08:00Z</dcterms:created>
  <dc:creator>Robin Bullock</dc:creator>
</cp:coreProperties>
</file>